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val="0"/>
        </w:rPr>
      </w:r>
    </w:p>
    <w:p>
      <w:pPr>
        <w:jc w:val="center"/>
      </w:pPr>
      <w:r>
        <w:rPr>
          <w:b w:val="0"/>
        </w:rPr>
      </w:r>
    </w:p>
    <w:p>
      <w:pPr>
        <w:jc w:val="center"/>
      </w:pPr>
      <w:r>
        <w:rPr>
          <w:b w:val="0"/>
        </w:rPr>
      </w:r>
    </w:p>
    <w:p>
      <w:pPr>
        <w:jc w:val="center"/>
      </w:pPr>
      <w:r>
        <w:rPr>
          <w:b/>
        </w:rPr>
        <w:t>Citation Practice Among Students</w:t>
      </w:r>
    </w:p>
    <w:p>
      <w:pPr>
        <w:jc w:val="center"/>
      </w:pPr>
      <w:r>
        <w:rPr>
          <w:b w:val="0"/>
        </w:rPr>
      </w:r>
    </w:p>
    <w:p>
      <w:pPr>
        <w:jc w:val="center"/>
      </w:pPr>
      <w:r>
        <w:rPr>
          <w:b w:val="0"/>
        </w:rPr>
        <w:t>Abdulloh Anvarov</w:t>
      </w:r>
    </w:p>
    <w:p>
      <w:pPr>
        <w:jc w:val="center"/>
      </w:pPr>
      <w:r>
        <w:rPr>
          <w:b w:val="0"/>
        </w:rPr>
        <w:t>Department of Computer Science, Webster University</w:t>
      </w:r>
    </w:p>
    <w:p>
      <w:pPr>
        <w:jc w:val="center"/>
      </w:pPr>
      <w:r>
        <w:rPr>
          <w:b w:val="0"/>
        </w:rPr>
        <w:t>PSYC 1100: Introduction to Psychology</w:t>
      </w:r>
    </w:p>
    <w:p>
      <w:pPr>
        <w:jc w:val="center"/>
      </w:pPr>
      <w:r>
        <w:rPr>
          <w:b w:val="0"/>
        </w:rPr>
        <w:t>Dr. Jane Smith</w:t>
      </w:r>
    </w:p>
    <w:p>
      <w:pPr>
        <w:jc w:val="center"/>
      </w:pPr>
      <w:r>
        <w:rPr>
          <w:b w:val="0"/>
        </w:rPr>
        <w:t>October 15, 2026</w:t>
      </w:r>
    </w:p>
    <w:p>
      <w:pPr>
        <w:pageBreakBefore/>
        <w:ind w:firstLine="720"/>
        <w:jc w:val="left"/>
      </w:pPr>
      <w:r>
        <w:rPr>
          <w:b w:val="0"/>
        </w:rPr>
        <w:t>Digital literacy research has grown quickly in recent years. Early evidence came from a two author study (Ibragimov et al., 2022), while a later team reported similar results (Nazarov, Yusupova, &amp; Kim, 2023). Ibragimov &amp; Petrova (2022) also described the same effect in a follow up paper.</w:t>
      </w:r>
    </w:p>
    <w:p>
      <w:pPr>
        <w:ind w:firstLine="720"/>
        <w:jc w:val="left"/>
      </w:pPr>
      <w:r>
        <w:rPr>
          <w:b w:val="0"/>
        </w:rPr>
        <w:t>Several groups converge on this point (Nazarov et al., 2023; Carter, 2021a), though earlier work disagreed (Carter, 2021a.). One review put the figure even higher (Carter,2021b).</w:t>
      </w:r>
    </w:p>
    <w:p>
      <w:pPr>
        <w:ind w:firstLine="720"/>
        <w:jc w:val="left"/>
      </w:pPr>
      <w:r>
        <w:rPr>
          <w:b w:val="0"/>
        </w:rPr>
        <w:t>The clearest summary comes from the original authors, who wrote that “Structured instruction in source evaluation changes how students approach academic reading, because it replaces intuitive judgement with an explicit checklist that learners can apply under time pressure, and this shift appears to persist well beyond the semester in which the instruction takes place, according to follow up measurements collected across three consecutive academic years in two separate institutions” (Nazarov et al., 2023, p. 61).</w:t>
      </w:r>
    </w:p>
    <w:p>
      <w:pPr>
        <w:pageBreakBefore/>
        <w:jc w:val="center"/>
      </w:pPr>
      <w:r>
        <w:rPr>
          <w:b/>
        </w:rPr>
        <w:t>References</w:t>
      </w:r>
    </w:p>
    <w:p>
      <w:pPr>
        <w:ind w:left="720" w:hanging="720"/>
        <w:jc w:val="left"/>
      </w:pPr>
      <w:r>
        <w:rPr>
          <w:b w:val="0"/>
        </w:rPr>
        <w:t>Carter, M. (2021). Evaluating online sources. Journal of Learning, 14(2), 33-49. https://doi.org/10.1234/jl.2021.142</w:t>
      </w:r>
    </w:p>
    <w:p>
      <w:pPr>
        <w:ind w:left="720" w:hanging="720"/>
        <w:jc w:val="left"/>
      </w:pPr>
      <w:r>
        <w:rPr>
          <w:b w:val="0"/>
        </w:rPr>
        <w:t>Carter, M. (2021). Rethinking source evaluation. Journal of Learning, 14(3), 51-66. https://doi.org/10.1234/jl.2021.143</w:t>
      </w:r>
    </w:p>
    <w:p>
      <w:pPr>
        <w:ind w:left="720" w:hanging="720"/>
        <w:jc w:val="left"/>
      </w:pPr>
      <w:r>
        <w:rPr>
          <w:b w:val="0"/>
        </w:rPr>
        <w:t>Ibragimov, R., &amp; Petrova, L. (2022). Teaching source evaluation. Educational Review, 8(1), 12-27. https://doi.org/10.5678/er.2022.81</w:t>
      </w:r>
    </w:p>
    <w:p>
      <w:pPr>
        <w:ind w:left="720" w:hanging="720"/>
        <w:jc w:val="left"/>
      </w:pPr>
      <w:r>
        <w:rPr>
          <w:b w:val="0"/>
        </w:rPr>
        <w:t>Nazarov, A., Yusupova, D., &amp; Kim, S. (2023). Second language learners and digital sources. Applied Linguistics Today, 5(3), 55-70. https://doi.org/10.9012/alt.2023.53</w:t>
      </w:r>
    </w:p>
    <w:sectPr w:rsidR="00FC693F" w:rsidRPr="0006063C" w:rsidSect="00034616">
      <w:head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fldSimple w:instr="PAGE"/>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